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для маслоохладителей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технологического процесса: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масла: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Трансформаторное масло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Турбинное масло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Гидравлическое масло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Смазочное масло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Другое (указать)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 маслоохладителя: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М³/ч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Температурный режим: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Входная температура масла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Выходная температура масла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Допустимый перепад температур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Требуемая тепловая мощность:</w:t>
      </w:r>
      <w:r/>
    </w:p>
    <w:p>
      <w:pPr>
        <w:pStyle w:val="938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КВт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маслоохладителю: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маслоохладителя: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Водяной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Воздушный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Комбинированный (вода/воздух)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теплообменных поверхностей: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Нержавеющая сталь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Медь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Латунь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Титан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Допустимое рабочее давление: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МПа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Габаритные ограничения: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Длина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Ширина</w:t>
      </w:r>
      <w:r/>
    </w:p>
    <w:p>
      <w:pPr>
        <w:pStyle w:val="938"/>
        <w:numPr>
          <w:ilvl w:val="0"/>
          <w:numId w:val="1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Высота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Взрывобезопасность:</w:t>
      </w:r>
      <w:r/>
    </w:p>
    <w:p>
      <w:pPr>
        <w:pStyle w:val="938"/>
        <w:numPr>
          <w:ilvl w:val="0"/>
          <w:numId w:val="1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Коррозионная стойкость:</w:t>
      </w:r>
      <w:r/>
    </w:p>
    <w:p>
      <w:pPr>
        <w:pStyle w:val="938"/>
        <w:numPr>
          <w:ilvl w:val="0"/>
          <w:numId w:val="1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Автоматическое управление:</w:t>
      </w:r>
      <w:r/>
    </w:p>
    <w:p>
      <w:pPr>
        <w:pStyle w:val="938"/>
        <w:numPr>
          <w:ilvl w:val="0"/>
          <w:numId w:val="1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Интеграция в систему:</w:t>
      </w:r>
      <w:r/>
    </w:p>
    <w:p>
      <w:pPr>
        <w:pStyle w:val="938"/>
        <w:numPr>
          <w:ilvl w:val="0"/>
          <w:numId w:val="1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маслоохладителя: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2024-04-25T13:19:06Z</dcterms:modified>
</cp:coreProperties>
</file>