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для литейных производств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литейного производства: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литья: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Песчаное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Специальное (вакуумное, центробежное, точное)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сплава: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Чугун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Сталь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Цветные металлы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Масса отливки: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кг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Серийность производства: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Единичное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Серийное</w:t>
      </w:r>
      <w:r/>
    </w:p>
    <w:p>
      <w:pPr>
        <w:pStyle w:val="938"/>
        <w:numPr>
          <w:ilvl w:val="0"/>
          <w:numId w:val="14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Массовое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оборудованию: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плавки металла: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Плавильные печи (индукционные, дуговые, вакуумные)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Миксеры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Заливочные устройства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Формовочное оборудование: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Формовочные машины (пескодувные, облицовочные, встряхивающие)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Модели и стержни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Оснастка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Очистное оборудование: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Дробеметные машины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Пескоструйные аппараты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Ультразвуковые ванны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Термообрабатывающее оборудование: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Печи (отжигочные, закалочные, отпускные)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Индукционные нагреватели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Термостаты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1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Безопасность: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Экологичность: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1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1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1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2024-04-25T13:23:18Z</dcterms:modified>
</cp:coreProperties>
</file>