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емкостного оборудования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2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предприятия:</w:t>
      </w:r>
      <w:r/>
    </w:p>
    <w:p>
      <w:pPr>
        <w:pStyle w:val="938"/>
        <w:numPr>
          <w:ilvl w:val="0"/>
          <w:numId w:val="2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2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2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хранимого продукта: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продукта: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Жидкости (вода, нефть, химические вещества)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Сыпучие материалы (зерно, цемент)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Газы (пропан, бутан)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Физико-химические свойства продукта: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Плотность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Вязкость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Температура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Агрессивность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Объем хранимого продукта:</w:t>
      </w:r>
      <w:r/>
    </w:p>
    <w:p>
      <w:pPr>
        <w:pStyle w:val="938"/>
        <w:numPr>
          <w:ilvl w:val="0"/>
          <w:numId w:val="2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м³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емкости: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емкости: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Вертикальная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Горизонтальная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Подземная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Наземная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Материал емкости: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Сталь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Нержавеющая сталь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Стеклопластик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Бетон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Другой (указать)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Форма емкости: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Цилиндрическая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Прямоугольная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Сферическая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Другая (указать)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Габариты емкости: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Диаметр/длина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Высота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Рабочее давление: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атм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Температурный режим:</w:t>
      </w:r>
      <w:r/>
    </w:p>
    <w:p>
      <w:pPr>
        <w:pStyle w:val="938"/>
        <w:numPr>
          <w:ilvl w:val="0"/>
          <w:numId w:val="2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°C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Теплоизоляция:</w:t>
      </w:r>
      <w:r/>
    </w:p>
    <w:p>
      <w:pPr>
        <w:pStyle w:val="938"/>
        <w:numPr>
          <w:ilvl w:val="0"/>
          <w:numId w:val="23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3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Защита от коррозии:</w:t>
      </w:r>
      <w:r/>
    </w:p>
    <w:p>
      <w:pPr>
        <w:pStyle w:val="938"/>
        <w:numPr>
          <w:ilvl w:val="0"/>
          <w:numId w:val="2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2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Система подогрева/охлаждения:</w:t>
      </w:r>
      <w:r/>
    </w:p>
    <w:p>
      <w:pPr>
        <w:pStyle w:val="938"/>
        <w:numPr>
          <w:ilvl w:val="0"/>
          <w:numId w:val="2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2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Система перемешивания:</w:t>
      </w:r>
      <w:r/>
    </w:p>
    <w:p>
      <w:pPr>
        <w:pStyle w:val="938"/>
        <w:numPr>
          <w:ilvl w:val="0"/>
          <w:numId w:val="2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Система контроля уровня:</w:t>
      </w:r>
      <w:r/>
    </w:p>
    <w:p>
      <w:pPr>
        <w:pStyle w:val="938"/>
        <w:numPr>
          <w:ilvl w:val="0"/>
          <w:numId w:val="2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2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Система пожаротушения:</w:t>
      </w:r>
      <w:r/>
    </w:p>
    <w:p>
      <w:pPr>
        <w:pStyle w:val="938"/>
        <w:numPr>
          <w:ilvl w:val="0"/>
          <w:numId w:val="2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2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безопасности:</w:t>
      </w:r>
      <w:r/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Ограждения</w:t>
      </w:r>
      <w:r/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Лестницы</w:t>
      </w:r>
      <w:r/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Люки</w:t>
      </w:r>
      <w:r/>
    </w:p>
    <w:p>
      <w:pPr>
        <w:pStyle w:val="938"/>
        <w:numPr>
          <w:ilvl w:val="0"/>
          <w:numId w:val="2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Системы сигнализации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Комплектация:</w:t>
      </w:r>
      <w:r/>
    </w:p>
    <w:p>
      <w:pPr>
        <w:pStyle w:val="938"/>
        <w:numPr>
          <w:ilvl w:val="0"/>
          <w:numId w:val="2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Нужна ли крышка:</w:t>
      </w:r>
      <w:r/>
    </w:p>
    <w:p>
      <w:pPr>
        <w:pStyle w:val="938"/>
        <w:numPr>
          <w:ilvl w:val="0"/>
          <w:numId w:val="2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2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Нужны ли патрубки:</w:t>
      </w:r>
      <w:r/>
    </w:p>
    <w:p>
      <w:pPr>
        <w:pStyle w:val="938"/>
        <w:numPr>
          <w:ilvl w:val="0"/>
          <w:numId w:val="2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Нужны ли люки:</w:t>
      </w:r>
      <w:r/>
    </w:p>
    <w:p>
      <w:pPr>
        <w:pStyle w:val="938"/>
        <w:numPr>
          <w:ilvl w:val="0"/>
          <w:numId w:val="2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Нужны ли лестницы:</w:t>
      </w:r>
      <w:r/>
    </w:p>
    <w:p>
      <w:pPr>
        <w:pStyle w:val="938"/>
        <w:numPr>
          <w:ilvl w:val="0"/>
          <w:numId w:val="2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2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938"/>
        <w:numPr>
          <w:ilvl w:val="0"/>
          <w:numId w:val="2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Нужны ли площадки обслуживания:</w:t>
      </w:r>
      <w:r/>
    </w:p>
    <w:p>
      <w:pPr>
        <w:pStyle w:val="938"/>
        <w:numPr>
          <w:ilvl w:val="0"/>
          <w:numId w:val="2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2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2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Нужны ли другие элементы? (указать):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Бюджет:</w:t>
      </w:r>
      <w:r/>
    </w:p>
    <w:p>
      <w:pPr>
        <w:pStyle w:val="938"/>
        <w:numPr>
          <w:ilvl w:val="0"/>
          <w:numId w:val="21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емкости: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Контактная информация:</w:t>
      </w:r>
      <w:r/>
    </w:p>
    <w:p>
      <w:pPr>
        <w:pStyle w:val="938"/>
        <w:numPr>
          <w:ilvl w:val="0"/>
          <w:numId w:val="2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2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2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22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2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2024-04-26T08:44:00Z</dcterms:modified>
</cp:coreProperties>
</file>